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B6" w:rsidRPr="00A238B6" w:rsidRDefault="00A238B6" w:rsidP="00A238B6">
      <w:pPr>
        <w:spacing w:before="100" w:beforeAutospacing="1" w:after="100" w:afterAutospacing="1" w:line="240" w:lineRule="auto"/>
        <w:jc w:val="center"/>
        <w:rPr>
          <w:rFonts w:eastAsia="Times New Roman"/>
          <w:szCs w:val="24"/>
          <w:lang w:val="es-ES" w:eastAsia="es-CO"/>
        </w:rPr>
      </w:pPr>
      <w:r w:rsidRPr="00A238B6">
        <w:rPr>
          <w:rFonts w:eastAsia="Times New Roman"/>
          <w:b/>
          <w:bCs/>
          <w:szCs w:val="24"/>
          <w:lang w:val="es-ES" w:eastAsia="es-CO"/>
        </w:rPr>
        <w:t>DIRECCIÓN DE IMPUESTOS Y ADUANAS NACIONALES</w:t>
      </w:r>
      <w:r w:rsidRPr="00A238B6">
        <w:rPr>
          <w:rFonts w:eastAsia="Times New Roman"/>
          <w:szCs w:val="24"/>
          <w:lang w:val="es-ES" w:eastAsia="es-CO"/>
        </w:rPr>
        <w:br/>
      </w:r>
      <w:r w:rsidRPr="00A238B6">
        <w:rPr>
          <w:rFonts w:eastAsia="Times New Roman"/>
          <w:b/>
          <w:bCs/>
          <w:szCs w:val="24"/>
          <w:lang w:val="es-ES" w:eastAsia="es-CO"/>
        </w:rPr>
        <w:t>OFICIO Nº 076627</w:t>
      </w:r>
      <w:r w:rsidRPr="00A238B6">
        <w:rPr>
          <w:rFonts w:eastAsia="Times New Roman"/>
          <w:szCs w:val="24"/>
          <w:lang w:val="es-ES" w:eastAsia="es-CO"/>
        </w:rPr>
        <w:br/>
      </w:r>
      <w:r w:rsidRPr="00A238B6">
        <w:rPr>
          <w:rFonts w:eastAsia="Times New Roman"/>
          <w:b/>
          <w:bCs/>
          <w:szCs w:val="24"/>
          <w:lang w:val="es-ES" w:eastAsia="es-CO"/>
        </w:rPr>
        <w:t>28-11-2013</w:t>
      </w:r>
    </w:p>
    <w:p w:rsidR="00A238B6" w:rsidRPr="00A238B6" w:rsidRDefault="00A238B6" w:rsidP="00A238B6">
      <w:pPr>
        <w:spacing w:before="100" w:beforeAutospacing="1" w:after="100" w:afterAutospacing="1" w:line="240" w:lineRule="auto"/>
        <w:jc w:val="left"/>
        <w:rPr>
          <w:rFonts w:eastAsia="Times New Roman"/>
          <w:szCs w:val="24"/>
          <w:lang w:val="es-ES" w:eastAsia="es-CO"/>
        </w:rPr>
      </w:pPr>
      <w:r w:rsidRPr="00A238B6">
        <w:rPr>
          <w:rFonts w:eastAsia="Times New Roman"/>
          <w:szCs w:val="24"/>
          <w:lang w:val="es-ES" w:eastAsia="es-CO"/>
        </w:rPr>
        <w:t>Subdirección de Gestión Normativa y Doctrina</w:t>
      </w:r>
      <w:r w:rsidRPr="00A238B6">
        <w:rPr>
          <w:rFonts w:eastAsia="Times New Roman"/>
          <w:szCs w:val="24"/>
          <w:lang w:val="es-ES" w:eastAsia="es-CO"/>
        </w:rPr>
        <w:br/>
        <w:t>Bogotá, D.C.</w:t>
      </w:r>
      <w:r w:rsidRPr="00A238B6">
        <w:rPr>
          <w:rFonts w:eastAsia="Times New Roman"/>
          <w:szCs w:val="24"/>
          <w:lang w:val="es-ES" w:eastAsia="es-CO"/>
        </w:rPr>
        <w:br/>
        <w:t>100208221-001011</w:t>
      </w:r>
    </w:p>
    <w:p w:rsidR="00A238B6" w:rsidRPr="00A238B6" w:rsidRDefault="00A238B6" w:rsidP="00A238B6">
      <w:pPr>
        <w:spacing w:before="100" w:beforeAutospacing="1" w:after="100" w:afterAutospacing="1" w:line="240" w:lineRule="auto"/>
        <w:jc w:val="left"/>
        <w:rPr>
          <w:rFonts w:eastAsia="Times New Roman"/>
          <w:szCs w:val="24"/>
          <w:lang w:val="es-ES" w:eastAsia="es-CO"/>
        </w:rPr>
      </w:pPr>
      <w:r w:rsidRPr="00A238B6">
        <w:rPr>
          <w:rFonts w:eastAsia="Times New Roman"/>
          <w:szCs w:val="24"/>
          <w:lang w:val="es-ES" w:eastAsia="es-CO"/>
        </w:rPr>
        <w:t>Señor</w:t>
      </w:r>
      <w:r w:rsidRPr="00A238B6">
        <w:rPr>
          <w:rFonts w:eastAsia="Times New Roman"/>
          <w:szCs w:val="24"/>
          <w:lang w:val="es-ES" w:eastAsia="es-CO"/>
        </w:rPr>
        <w:br/>
      </w:r>
      <w:r w:rsidRPr="00A238B6">
        <w:rPr>
          <w:rFonts w:eastAsia="Times New Roman"/>
          <w:b/>
          <w:bCs/>
          <w:szCs w:val="24"/>
          <w:lang w:val="es-ES" w:eastAsia="es-CO"/>
        </w:rPr>
        <w:t>MAURICIO VILLAMIL</w:t>
      </w:r>
      <w:r w:rsidRPr="00A238B6">
        <w:rPr>
          <w:rFonts w:eastAsia="Times New Roman"/>
          <w:szCs w:val="24"/>
          <w:lang w:val="es-ES" w:eastAsia="es-CO"/>
        </w:rPr>
        <w:br/>
        <w:t>Carrera 53 Nº 70-68</w:t>
      </w:r>
      <w:r w:rsidRPr="00A238B6">
        <w:rPr>
          <w:rFonts w:eastAsia="Times New Roman"/>
          <w:szCs w:val="24"/>
          <w:lang w:val="es-ES" w:eastAsia="es-CO"/>
        </w:rPr>
        <w:br/>
        <w:t>Bogotá D.C</w:t>
      </w:r>
    </w:p>
    <w:p w:rsidR="00A238B6" w:rsidRPr="00A238B6" w:rsidRDefault="00A238B6" w:rsidP="00A238B6">
      <w:pPr>
        <w:spacing w:before="100" w:beforeAutospacing="1" w:after="100" w:afterAutospacing="1" w:line="240" w:lineRule="auto"/>
        <w:jc w:val="left"/>
        <w:rPr>
          <w:rFonts w:eastAsia="Times New Roman"/>
          <w:szCs w:val="24"/>
          <w:lang w:val="es-ES" w:eastAsia="es-CO"/>
        </w:rPr>
      </w:pPr>
      <w:proofErr w:type="spellStart"/>
      <w:r w:rsidRPr="00A238B6">
        <w:rPr>
          <w:rFonts w:eastAsia="Times New Roman"/>
          <w:szCs w:val="24"/>
          <w:lang w:val="es-ES" w:eastAsia="es-CO"/>
        </w:rPr>
        <w:t>Ref</w:t>
      </w:r>
      <w:proofErr w:type="spellEnd"/>
      <w:r w:rsidRPr="00A238B6">
        <w:rPr>
          <w:rFonts w:eastAsia="Times New Roman"/>
          <w:szCs w:val="24"/>
          <w:lang w:val="es-ES" w:eastAsia="es-CO"/>
        </w:rPr>
        <w:t>: Radicado 66497 de 15/10/2013</w:t>
      </w:r>
    </w:p>
    <w:p w:rsidR="00A238B6" w:rsidRPr="00A238B6" w:rsidRDefault="00A238B6" w:rsidP="00A238B6">
      <w:pPr>
        <w:spacing w:before="100" w:beforeAutospacing="1" w:after="100" w:afterAutospacing="1" w:line="240" w:lineRule="auto"/>
        <w:jc w:val="left"/>
        <w:rPr>
          <w:rFonts w:eastAsia="Times New Roman"/>
          <w:szCs w:val="24"/>
          <w:lang w:val="es-ES" w:eastAsia="es-CO"/>
        </w:rPr>
      </w:pPr>
      <w:r w:rsidRPr="00A238B6">
        <w:rPr>
          <w:rFonts w:eastAsia="Times New Roman"/>
          <w:b/>
          <w:bCs/>
          <w:szCs w:val="24"/>
          <w:lang w:val="es-ES" w:eastAsia="es-CO"/>
        </w:rPr>
        <w:t>Tema:</w:t>
      </w:r>
      <w:r w:rsidRPr="00A238B6">
        <w:rPr>
          <w:rFonts w:eastAsia="Times New Roman"/>
          <w:szCs w:val="24"/>
          <w:lang w:val="es-ES" w:eastAsia="es-CO"/>
        </w:rPr>
        <w:t xml:space="preserve"> Impuesto sobre la renta y complementarios</w:t>
      </w:r>
      <w:r w:rsidRPr="00A238B6">
        <w:rPr>
          <w:rFonts w:eastAsia="Times New Roman"/>
          <w:szCs w:val="24"/>
          <w:lang w:val="es-ES" w:eastAsia="es-CO"/>
        </w:rPr>
        <w:br/>
      </w:r>
      <w:r w:rsidRPr="00A238B6">
        <w:rPr>
          <w:rFonts w:eastAsia="Times New Roman"/>
          <w:b/>
          <w:bCs/>
          <w:szCs w:val="24"/>
          <w:lang w:val="es-ES" w:eastAsia="es-CO"/>
        </w:rPr>
        <w:t>Descriptores:</w:t>
      </w:r>
      <w:r w:rsidRPr="00A238B6">
        <w:rPr>
          <w:rFonts w:eastAsia="Times New Roman"/>
          <w:szCs w:val="24"/>
          <w:lang w:val="es-ES" w:eastAsia="es-CO"/>
        </w:rPr>
        <w:t xml:space="preserve"> Deducción por pagos a personas naturales</w:t>
      </w:r>
      <w:r w:rsidRPr="00A238B6">
        <w:rPr>
          <w:rFonts w:eastAsia="Times New Roman"/>
          <w:szCs w:val="24"/>
          <w:lang w:val="es-ES" w:eastAsia="es-CO"/>
        </w:rPr>
        <w:br/>
      </w:r>
      <w:r w:rsidRPr="00A238B6">
        <w:rPr>
          <w:rFonts w:eastAsia="Times New Roman"/>
          <w:b/>
          <w:bCs/>
          <w:szCs w:val="24"/>
          <w:lang w:val="es-ES" w:eastAsia="es-CO"/>
        </w:rPr>
        <w:t>Fuentes Formales:</w:t>
      </w:r>
      <w:r w:rsidRPr="00A238B6">
        <w:rPr>
          <w:rFonts w:eastAsia="Times New Roman"/>
          <w:szCs w:val="24"/>
          <w:lang w:val="es-ES" w:eastAsia="es-CO"/>
        </w:rPr>
        <w:t xml:space="preserve"> Estatuto Tributario Art. 108. Decreto 1070/13</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De conformidad con el artículo 20 del Decreto 4048 de 2008 y la Orden Administrativa 0006 de 2009, es función de esta Subdirección absolver las consultas escritas que se formulen sobre la interpretación y aplicación de las normas tributarias de carácter nacional, aduaneras y cambiarias en lo de competencia de esta entidad.</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Pregunta cuál es el procedimiento a seguir cuando los proveedores personas naturales “trabajadores independientes” no adjuntan a la factura o cuenta de cobro la copia del pago de cotizaciones al sistema de seguridad social en salud, de conformidad con lo dispuesto en el artículo 3º del Decreto 1070 de 2013.</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La Ley 1393 de 2010, en sus artículos 26 y 27 consagra:</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“ARTÍCULO 26. 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 </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El Gobierno Nacional podrá adoptar mecanismos de retención para el cumplimiento de estas obligaciones, así como de devolución de saldos a favor.</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 </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 xml:space="preserve">ARTÍCULO 27. Adiciónese el artículo </w:t>
      </w:r>
      <w:hyperlink r:id="rId5" w:anchor="108" w:tgtFrame="_blank" w:history="1">
        <w:r w:rsidRPr="00A238B6">
          <w:rPr>
            <w:rFonts w:eastAsia="Times New Roman"/>
            <w:i/>
            <w:iCs/>
            <w:color w:val="0000FF"/>
            <w:szCs w:val="24"/>
            <w:u w:val="single"/>
            <w:lang w:val="es-ES" w:eastAsia="es-CO"/>
          </w:rPr>
          <w:t>108</w:t>
        </w:r>
      </w:hyperlink>
      <w:r w:rsidRPr="00A238B6">
        <w:rPr>
          <w:rFonts w:eastAsia="Times New Roman"/>
          <w:i/>
          <w:iCs/>
          <w:szCs w:val="24"/>
          <w:lang w:val="es-ES" w:eastAsia="es-CO"/>
        </w:rPr>
        <w:t xml:space="preserve"> del Estatuto Tributario con el siguiente parágrafo:</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 </w:t>
      </w:r>
    </w:p>
    <w:p w:rsidR="00A238B6" w:rsidRPr="00A238B6" w:rsidRDefault="00A238B6" w:rsidP="00A238B6">
      <w:pPr>
        <w:spacing w:line="240" w:lineRule="auto"/>
        <w:rPr>
          <w:rFonts w:eastAsia="Times New Roman"/>
          <w:szCs w:val="24"/>
          <w:lang w:val="es-ES" w:eastAsia="es-CO"/>
        </w:rPr>
      </w:pPr>
      <w:r w:rsidRPr="00A238B6">
        <w:rPr>
          <w:rFonts w:eastAsia="Times New Roman"/>
          <w:i/>
          <w:iCs/>
          <w:szCs w:val="24"/>
          <w:lang w:val="es-ES" w:eastAsia="es-CO"/>
        </w:rPr>
        <w:t>“</w:t>
      </w:r>
      <w:r w:rsidRPr="00A238B6">
        <w:rPr>
          <w:rFonts w:eastAsia="Times New Roman"/>
          <w:b/>
          <w:bCs/>
          <w:i/>
          <w:iCs/>
          <w:szCs w:val="24"/>
          <w:lang w:val="es-ES" w:eastAsia="es-CO"/>
        </w:rPr>
        <w:t>Parágrafo 2</w:t>
      </w:r>
      <w:r w:rsidRPr="00A238B6">
        <w:rPr>
          <w:rFonts w:eastAsia="Times New Roman"/>
          <w:i/>
          <w:iCs/>
          <w:szCs w:val="24"/>
          <w:lang w:val="es-ES" w:eastAsia="es-CO"/>
        </w:rPr>
        <w:t>o</w:t>
      </w:r>
      <w:r w:rsidRPr="00A238B6">
        <w:rPr>
          <w:rFonts w:eastAsia="Times New Roman"/>
          <w:b/>
          <w:bCs/>
          <w:i/>
          <w:iCs/>
          <w:szCs w:val="24"/>
          <w:lang w:val="es-ES" w:eastAsia="es-CO"/>
        </w:rPr>
        <w:t xml:space="preserve">. </w:t>
      </w:r>
      <w:r w:rsidRPr="00A238B6">
        <w:rPr>
          <w:rFonts w:eastAsia="Times New Roman"/>
          <w:i/>
          <w:iCs/>
          <w:szCs w:val="24"/>
          <w:lang w:val="es-ES" w:eastAsia="es-CO"/>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8999"/>
      </w:tblGrid>
      <w:tr w:rsidR="00A238B6" w:rsidRPr="00A238B6" w:rsidTr="00A238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38B6" w:rsidRPr="00A238B6" w:rsidRDefault="00A238B6" w:rsidP="00A238B6">
            <w:pPr>
              <w:spacing w:line="240" w:lineRule="auto"/>
              <w:jc w:val="left"/>
              <w:rPr>
                <w:rFonts w:eastAsia="Times New Roman"/>
                <w:szCs w:val="24"/>
                <w:lang w:eastAsia="es-CO"/>
              </w:rPr>
            </w:pPr>
          </w:p>
        </w:tc>
      </w:tr>
    </w:tbl>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 El Decreto Reglamentario 1070 de 2013 en el artículo 3 señala respecto lo anterior:</w:t>
      </w:r>
    </w:p>
    <w:p w:rsidR="00A238B6" w:rsidRPr="00A238B6" w:rsidRDefault="00A238B6" w:rsidP="00A238B6">
      <w:pPr>
        <w:spacing w:before="100" w:beforeAutospacing="1" w:after="100" w:afterAutospacing="1" w:line="240" w:lineRule="auto"/>
        <w:rPr>
          <w:rFonts w:eastAsia="Times New Roman"/>
          <w:szCs w:val="24"/>
          <w:lang w:val="es-ES" w:eastAsia="es-CO"/>
        </w:rPr>
      </w:pPr>
      <w:proofErr w:type="spellStart"/>
      <w:r w:rsidRPr="00A238B6">
        <w:rPr>
          <w:rFonts w:eastAsia="Times New Roman"/>
          <w:i/>
          <w:iCs/>
          <w:szCs w:val="24"/>
          <w:lang w:val="es-ES" w:eastAsia="es-CO"/>
        </w:rPr>
        <w:t>ARTíCULO</w:t>
      </w:r>
      <w:proofErr w:type="spellEnd"/>
      <w:r w:rsidRPr="00A238B6">
        <w:rPr>
          <w:rFonts w:eastAsia="Times New Roman"/>
          <w:i/>
          <w:iCs/>
          <w:szCs w:val="24"/>
          <w:lang w:val="es-ES" w:eastAsia="es-CO"/>
        </w:rPr>
        <w:t xml:space="preserve"> 3. Contribuciones al Sistema General de Seguridad Social. De acuerdo con lo previsto en el artículo 26 de la ley 1393 de 2010 Y el artículo 108 del Estatuto Tributario, la disminución de la base de retención para las personas naturales residentes cuyos </w:t>
      </w:r>
      <w:r w:rsidRPr="00A238B6">
        <w:rPr>
          <w:rFonts w:eastAsia="Times New Roman"/>
          <w:i/>
          <w:iCs/>
          <w:szCs w:val="24"/>
          <w:lang w:val="es-ES" w:eastAsia="es-CO"/>
        </w:rPr>
        <w:lastRenderedPageBreak/>
        <w:t>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la planilla o documento de pago.</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i/>
          <w:iCs/>
          <w:szCs w:val="24"/>
          <w:lang w:val="es-ES" w:eastAsia="es-CO"/>
        </w:rPr>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Sobre este tema mediante Oficio Nº 060032 de Septiembre 23 de 2013, esta Dependencia al hacer el análisis de las anteriores normas señaló:</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 </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Por su parte, el inciso primero del artículo 23 del Decreto 1703 de 2002, reglamentario de la Ley 100 de 1993, establece: </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b/>
          <w:bCs/>
          <w:i/>
          <w:iCs/>
          <w:szCs w:val="24"/>
          <w:lang w:val="es-ES" w:eastAsia="es-CO"/>
        </w:rPr>
        <w:t xml:space="preserve">“Artículo 23. Cotizaciones en contratación no laboral. </w:t>
      </w:r>
      <w:r w:rsidRPr="00A238B6">
        <w:rPr>
          <w:rFonts w:eastAsia="Times New Roman"/>
          <w:i/>
          <w:iCs/>
          <w:szCs w:val="24"/>
          <w:lang w:val="es-ES" w:eastAsia="es-CO"/>
        </w:rPr>
        <w:t>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 </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En este orden de ideas, en la determinación del impuesto sobre la renta, para la procedencia de la deducción por pagos realizados a una persona natural que presta servicios de transporte de carga, el contratante deberá verificar la afiliación y el pago de las cotizaciones y aportes al Sistema General de Seguridad Social que le corresponden al contratista según la ley…”</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En tal sentido, es obligación del contratante verificar que en los casos de contratación de prestación de servicios con los “trabajadores independiente”, se dé el cumplimiento al pago de las referidas cotizaciones, dado que es la manera para que en el impuesto sobre la renta que corresponde al contratante, proceda la deducción por estos pagos, más se considera que tal exigencia no se extiende en los eventos tales como la mera compra de bienes. La actuación que entre las partes debe seguirse, escapa a la competencia de este despacho.</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Atentamente,</w:t>
      </w:r>
    </w:p>
    <w:p w:rsidR="00A238B6" w:rsidRPr="00A238B6" w:rsidRDefault="00A238B6" w:rsidP="00A238B6">
      <w:pPr>
        <w:spacing w:before="100" w:beforeAutospacing="1" w:after="100" w:afterAutospacing="1" w:line="240" w:lineRule="auto"/>
        <w:rPr>
          <w:rFonts w:eastAsia="Times New Roman"/>
          <w:szCs w:val="24"/>
          <w:lang w:val="es-ES" w:eastAsia="es-CO"/>
        </w:rPr>
      </w:pPr>
      <w:r w:rsidRPr="00A238B6">
        <w:rPr>
          <w:rFonts w:eastAsia="Times New Roman"/>
          <w:szCs w:val="24"/>
          <w:lang w:val="es-ES" w:eastAsia="es-CO"/>
        </w:rPr>
        <w:t> </w:t>
      </w:r>
    </w:p>
    <w:p w:rsidR="00A238B6" w:rsidRDefault="00A238B6" w:rsidP="00A238B6">
      <w:pPr>
        <w:spacing w:before="100" w:beforeAutospacing="1" w:after="100" w:afterAutospacing="1" w:line="240" w:lineRule="auto"/>
        <w:rPr>
          <w:rFonts w:eastAsia="Times New Roman"/>
          <w:b/>
          <w:bCs/>
          <w:szCs w:val="24"/>
          <w:lang w:val="es-ES" w:eastAsia="es-CO"/>
        </w:rPr>
      </w:pPr>
      <w:r w:rsidRPr="00A238B6">
        <w:rPr>
          <w:rFonts w:eastAsia="Times New Roman"/>
          <w:b/>
          <w:bCs/>
          <w:szCs w:val="24"/>
          <w:lang w:val="es-ES" w:eastAsia="es-CO"/>
        </w:rPr>
        <w:t>LEONOR EUGENIA RUIZ DE VILLALOBOS</w:t>
      </w:r>
    </w:p>
    <w:p w:rsidR="00A238B6" w:rsidRPr="00A238B6" w:rsidRDefault="00A238B6" w:rsidP="00A238B6">
      <w:pPr>
        <w:spacing w:before="100" w:beforeAutospacing="1" w:after="100" w:afterAutospacing="1" w:line="240" w:lineRule="auto"/>
        <w:rPr>
          <w:rFonts w:eastAsia="Times New Roman"/>
          <w:szCs w:val="24"/>
          <w:lang w:val="es-ES" w:eastAsia="es-CO"/>
        </w:rPr>
      </w:pPr>
      <w:bookmarkStart w:id="0" w:name="_GoBack"/>
      <w:bookmarkEnd w:id="0"/>
      <w:r w:rsidRPr="00A238B6">
        <w:rPr>
          <w:rFonts w:eastAsia="Times New Roman"/>
          <w:szCs w:val="24"/>
          <w:lang w:val="es-ES" w:eastAsia="es-CO"/>
        </w:rPr>
        <w:br/>
        <w:t>Subdirección de Gestión Normativa y Doctrina </w:t>
      </w:r>
    </w:p>
    <w:p w:rsidR="00B51D80" w:rsidRPr="00A238B6" w:rsidRDefault="00B51D80">
      <w:pPr>
        <w:rPr>
          <w:lang w:val="es-ES"/>
        </w:rPr>
      </w:pPr>
    </w:p>
    <w:sectPr w:rsidR="00B51D80" w:rsidRPr="00A238B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B6"/>
    <w:rsid w:val="00A067C7"/>
    <w:rsid w:val="00A238B6"/>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5648">
      <w:bodyDiv w:val="1"/>
      <w:marLeft w:val="0"/>
      <w:marRight w:val="0"/>
      <w:marTop w:val="0"/>
      <w:marBottom w:val="0"/>
      <w:divBdr>
        <w:top w:val="none" w:sz="0" w:space="0" w:color="auto"/>
        <w:left w:val="none" w:sz="0" w:space="0" w:color="auto"/>
        <w:bottom w:val="none" w:sz="0" w:space="0" w:color="auto"/>
        <w:right w:val="none" w:sz="0" w:space="0" w:color="auto"/>
      </w:divBdr>
      <w:divsChild>
        <w:div w:id="149565230">
          <w:marLeft w:val="0"/>
          <w:marRight w:val="0"/>
          <w:marTop w:val="0"/>
          <w:marBottom w:val="0"/>
          <w:divBdr>
            <w:top w:val="none" w:sz="0" w:space="0" w:color="auto"/>
            <w:left w:val="none" w:sz="0" w:space="0" w:color="auto"/>
            <w:bottom w:val="none" w:sz="0" w:space="0" w:color="auto"/>
            <w:right w:val="none" w:sz="0" w:space="0" w:color="auto"/>
          </w:divBdr>
          <w:divsChild>
            <w:div w:id="1912806329">
              <w:marLeft w:val="0"/>
              <w:marRight w:val="0"/>
              <w:marTop w:val="0"/>
              <w:marBottom w:val="0"/>
              <w:divBdr>
                <w:top w:val="none" w:sz="0" w:space="0" w:color="auto"/>
                <w:left w:val="none" w:sz="0" w:space="0" w:color="auto"/>
                <w:bottom w:val="none" w:sz="0" w:space="0" w:color="auto"/>
                <w:right w:val="none" w:sz="0" w:space="0" w:color="auto"/>
              </w:divBdr>
              <w:divsChild>
                <w:div w:id="2097970671">
                  <w:marLeft w:val="0"/>
                  <w:marRight w:val="0"/>
                  <w:marTop w:val="0"/>
                  <w:marBottom w:val="0"/>
                  <w:divBdr>
                    <w:top w:val="none" w:sz="0" w:space="0" w:color="auto"/>
                    <w:left w:val="none" w:sz="0" w:space="0" w:color="auto"/>
                    <w:bottom w:val="none" w:sz="0" w:space="0" w:color="auto"/>
                    <w:right w:val="none" w:sz="0" w:space="0" w:color="auto"/>
                  </w:divBdr>
                  <w:divsChild>
                    <w:div w:id="1519733588">
                      <w:marLeft w:val="0"/>
                      <w:marRight w:val="0"/>
                      <w:marTop w:val="0"/>
                      <w:marBottom w:val="0"/>
                      <w:divBdr>
                        <w:top w:val="none" w:sz="0" w:space="0" w:color="auto"/>
                        <w:left w:val="none" w:sz="0" w:space="0" w:color="auto"/>
                        <w:bottom w:val="none" w:sz="0" w:space="0" w:color="auto"/>
                        <w:right w:val="none" w:sz="0" w:space="0" w:color="auto"/>
                      </w:divBdr>
                      <w:divsChild>
                        <w:div w:id="1141654265">
                          <w:marLeft w:val="0"/>
                          <w:marRight w:val="0"/>
                          <w:marTop w:val="0"/>
                          <w:marBottom w:val="0"/>
                          <w:divBdr>
                            <w:top w:val="none" w:sz="0" w:space="0" w:color="auto"/>
                            <w:left w:val="none" w:sz="0" w:space="0" w:color="auto"/>
                            <w:bottom w:val="none" w:sz="0" w:space="0" w:color="auto"/>
                            <w:right w:val="none" w:sz="0" w:space="0" w:color="auto"/>
                          </w:divBdr>
                          <w:divsChild>
                            <w:div w:id="8072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retariasenado.gov.co/senado/basedoc/codigo/estatuto_tributario_pr00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2014-01-30T20:51:00Z</dcterms:created>
  <dcterms:modified xsi:type="dcterms:W3CDTF">2014-01-30T20:54:00Z</dcterms:modified>
</cp:coreProperties>
</file>